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6C77">
      <w:pPr>
        <w:spacing w:before="156" w:beforeLines="50" w:after="156" w:afterLines="50"/>
        <w:jc w:val="center"/>
        <w:rPr>
          <w:rFonts w:eastAsia="仿宋_GB2312"/>
          <w:b/>
          <w:color w:val="000000"/>
          <w:sz w:val="30"/>
          <w:szCs w:val="30"/>
        </w:rPr>
      </w:pPr>
      <w:r>
        <w:rPr>
          <w:rFonts w:eastAsia="仿宋_GB2312"/>
          <w:b/>
          <w:color w:val="000000"/>
          <w:sz w:val="30"/>
          <w:szCs w:val="30"/>
        </w:rPr>
        <w:t>研究生教学工作量计算办法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48"/>
        <w:gridCol w:w="1275"/>
        <w:gridCol w:w="1532"/>
        <w:gridCol w:w="3801"/>
      </w:tblGrid>
      <w:tr w14:paraId="3D01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C615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BB02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教学环节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C9C7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计算方法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4BA1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包含任务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4A98"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备    注</w:t>
            </w:r>
          </w:p>
        </w:tc>
      </w:tr>
      <w:tr w14:paraId="5E62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A8C1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E0EB">
            <w:pPr>
              <w:spacing w:line="300" w:lineRule="exact"/>
              <w:ind w:firstLine="105" w:firstLineChars="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讲 课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1CEF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计划学时×1.2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5851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包括备课、讲授、辅导答疑、课堂讨论、批改作业等教学环节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2265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（1）青年教师第一次上课、新开课、两个班以上（不含两个班）每增加一个班，系数增加0.1（每30个学生为一个班）；</w:t>
            </w:r>
          </w:p>
          <w:p w14:paraId="7E74D101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全英文课程（课程编码最后一位为“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E</w:t>
            </w: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),在原课程系数的基础上再乘2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。</w:t>
            </w:r>
          </w:p>
        </w:tc>
      </w:tr>
      <w:tr w14:paraId="01F7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564B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031E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考 试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620B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人数×0.1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66A9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命题、阅卷、试卷整理提交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6611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试卷包括A、B卷。</w:t>
            </w:r>
          </w:p>
        </w:tc>
      </w:tr>
      <w:tr w14:paraId="1E39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026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253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</w:t>
            </w:r>
          </w:p>
          <w:p w14:paraId="661B655C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B747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7A40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包括制定培养计划、指导学习、审阅修改论文等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1697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（1）博士生系数30/年，硕士生系数20/年；</w:t>
            </w:r>
          </w:p>
          <w:p w14:paraId="69077346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（2）合作指导，由指导教师分配工作量。</w:t>
            </w:r>
          </w:p>
        </w:tc>
      </w:tr>
      <w:tr w14:paraId="1D8E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69DE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554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开题论证及答辩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94D7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2356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包括参加答辩、提出问题、评定成绩、总结等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58AC">
            <w:pPr>
              <w:spacing w:line="300" w:lineRule="exac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（1）开题系数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:硕士生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，博士生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3；</w:t>
            </w:r>
          </w:p>
          <w:p w14:paraId="600F95A5"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（2）答辩系数：硕士生2，博士生3；</w:t>
            </w:r>
          </w:p>
          <w:p w14:paraId="35FCF05C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（3）预答辩系数3。</w:t>
            </w:r>
          </w:p>
        </w:tc>
      </w:tr>
      <w:tr w14:paraId="1E18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1343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C930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评阅论文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9DCF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EEF2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包括提出修改意见、评阅结论等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EE68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系数：硕士生2，博士生3。</w:t>
            </w:r>
          </w:p>
        </w:tc>
      </w:tr>
      <w:tr w14:paraId="5E7B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1538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2524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其他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AE0E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931F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5E9F"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各类评审、监考、命题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根据学院津贴管理办法确定发放标准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。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（本次未统计，以学院记录为准）</w:t>
            </w:r>
          </w:p>
        </w:tc>
      </w:tr>
    </w:tbl>
    <w:p w14:paraId="5271EAC9">
      <w:pPr>
        <w:rPr>
          <w:rFonts w:eastAsia="仿宋_GB2312"/>
          <w:b/>
          <w:color w:val="000000"/>
          <w:sz w:val="30"/>
          <w:szCs w:val="30"/>
        </w:rPr>
      </w:pPr>
    </w:p>
    <w:p w14:paraId="4A9530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jc0ZDA0NmIxNzk1ZDQzMWIwMGJmYzNjYTllNzkifQ=="/>
  </w:docVars>
  <w:rsids>
    <w:rsidRoot w:val="586476EB"/>
    <w:rsid w:val="019C2B32"/>
    <w:rsid w:val="128C477C"/>
    <w:rsid w:val="2C15255B"/>
    <w:rsid w:val="3B7C0E01"/>
    <w:rsid w:val="586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434</Characters>
  <Lines>0</Lines>
  <Paragraphs>0</Paragraphs>
  <TotalTime>6</TotalTime>
  <ScaleCrop>false</ScaleCrop>
  <LinksUpToDate>false</LinksUpToDate>
  <CharactersWithSpaces>440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2022-12-16T01:27:00Z</dcterms:created>
  <dc:creator>紫薇花开</dc:creator>
  <cp:lastModifiedBy>紫薇花开</cp:lastModifiedBy>
  <dcterms:modified xsi:type="dcterms:W3CDTF">2024-12-12T08:51:00Z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25B1A93E7AE54FB4BC558D93A294F59A_13</vt:lpwstr>
  </property>
</Properties>
</file>